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8E98"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46D6798F" wp14:editId="75DF6EDF">
            <wp:extent cx="2444750" cy="146685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466850"/>
                    </a:xfrm>
                    <a:prstGeom prst="rect">
                      <a:avLst/>
                    </a:prstGeom>
                  </pic:spPr>
                </pic:pic>
              </a:graphicData>
            </a:graphic>
          </wp:inline>
        </w:drawing>
      </w:r>
    </w:p>
    <w:p w14:paraId="2AB64AD7"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2E61E9FB"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tbl>
      <w:tblPr>
        <w:tblStyle w:val="TableGrid"/>
        <w:tblW w:w="0" w:type="auto"/>
        <w:tblLook w:val="04A0" w:firstRow="1" w:lastRow="0" w:firstColumn="1" w:lastColumn="0" w:noHBand="0" w:noVBand="1"/>
      </w:tblPr>
      <w:tblGrid>
        <w:gridCol w:w="4135"/>
        <w:gridCol w:w="5215"/>
      </w:tblGrid>
      <w:tr w:rsidR="00F61288" w14:paraId="6836952F" w14:textId="77777777" w:rsidTr="00FB0FF0">
        <w:tc>
          <w:tcPr>
            <w:tcW w:w="4135" w:type="dxa"/>
          </w:tcPr>
          <w:p w14:paraId="79D9BEAC" w14:textId="77777777" w:rsidR="00F61288" w:rsidRDefault="00F61288" w:rsidP="00FB0FF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Academic Year: </w:t>
            </w:r>
          </w:p>
        </w:tc>
        <w:tc>
          <w:tcPr>
            <w:tcW w:w="5215" w:type="dxa"/>
          </w:tcPr>
          <w:p w14:paraId="3174C858" w14:textId="77777777" w:rsidR="00F61288" w:rsidRDefault="00F61288" w:rsidP="00FB0FF0">
            <w:pPr>
              <w:pStyle w:val="NormalWeb"/>
              <w:jc w:val="center"/>
              <w:rPr>
                <w:rFonts w:ascii="Poppins" w:hAnsi="Poppins" w:cs="Poppins"/>
                <w:b/>
                <w:bCs/>
                <w:color w:val="000000"/>
                <w:sz w:val="22"/>
                <w:szCs w:val="22"/>
              </w:rPr>
            </w:pPr>
            <w:r>
              <w:rPr>
                <w:rFonts w:ascii="Poppins" w:hAnsi="Poppins" w:cs="Poppins"/>
                <w:b/>
                <w:bCs/>
                <w:color w:val="000000"/>
                <w:sz w:val="22"/>
                <w:szCs w:val="22"/>
              </w:rPr>
              <w:t>2024-2025</w:t>
            </w:r>
          </w:p>
        </w:tc>
      </w:tr>
      <w:tr w:rsidR="00F61288" w14:paraId="6FE5BF2F" w14:textId="77777777" w:rsidTr="00FB0FF0">
        <w:tc>
          <w:tcPr>
            <w:tcW w:w="4135" w:type="dxa"/>
          </w:tcPr>
          <w:p w14:paraId="11061547" w14:textId="77777777" w:rsidR="00F61288" w:rsidRDefault="00F61288" w:rsidP="00FB0FF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Semester: </w:t>
            </w:r>
          </w:p>
        </w:tc>
        <w:tc>
          <w:tcPr>
            <w:tcW w:w="5215" w:type="dxa"/>
          </w:tcPr>
          <w:p w14:paraId="316AF92B" w14:textId="77777777" w:rsidR="00F61288" w:rsidRDefault="00F61288" w:rsidP="00FB0FF0">
            <w:pPr>
              <w:pStyle w:val="NormalWeb"/>
              <w:jc w:val="center"/>
              <w:rPr>
                <w:rFonts w:ascii="Poppins" w:hAnsi="Poppins" w:cs="Poppins"/>
                <w:b/>
                <w:bCs/>
                <w:color w:val="000000"/>
                <w:sz w:val="22"/>
                <w:szCs w:val="22"/>
              </w:rPr>
            </w:pPr>
            <w:r>
              <w:rPr>
                <w:rFonts w:ascii="Poppins" w:hAnsi="Poppins" w:cs="Poppins"/>
                <w:b/>
                <w:bCs/>
                <w:color w:val="000000"/>
                <w:sz w:val="22"/>
                <w:szCs w:val="22"/>
              </w:rPr>
              <w:t>Fall</w:t>
            </w:r>
          </w:p>
        </w:tc>
      </w:tr>
      <w:tr w:rsidR="00F61288" w14:paraId="2533A863" w14:textId="77777777" w:rsidTr="00FB0FF0">
        <w:tc>
          <w:tcPr>
            <w:tcW w:w="4135" w:type="dxa"/>
          </w:tcPr>
          <w:p w14:paraId="5BE462BC" w14:textId="77777777" w:rsidR="00F61288" w:rsidRDefault="00F61288" w:rsidP="00FB0FF0">
            <w:pPr>
              <w:pStyle w:val="NormalWeb"/>
              <w:rPr>
                <w:rFonts w:ascii="Poppins" w:hAnsi="Poppins" w:cs="Poppins"/>
                <w:b/>
                <w:bCs/>
                <w:color w:val="000000"/>
                <w:sz w:val="22"/>
                <w:szCs w:val="22"/>
              </w:rPr>
            </w:pPr>
            <w:proofErr w:type="spellStart"/>
            <w:r w:rsidRPr="00E4297E">
              <w:rPr>
                <w:rFonts w:ascii="Poppins" w:hAnsi="Poppins" w:cs="Poppins"/>
                <w:b/>
                <w:bCs/>
                <w:color w:val="000000"/>
                <w:sz w:val="22"/>
                <w:szCs w:val="22"/>
              </w:rPr>
              <w:t>Programme</w:t>
            </w:r>
            <w:proofErr w:type="spellEnd"/>
            <w:r w:rsidRPr="00E4297E">
              <w:rPr>
                <w:rFonts w:ascii="Poppins" w:hAnsi="Poppins" w:cs="Poppins"/>
                <w:b/>
                <w:bCs/>
                <w:color w:val="000000"/>
                <w:sz w:val="22"/>
                <w:szCs w:val="22"/>
              </w:rPr>
              <w:t>:</w:t>
            </w:r>
          </w:p>
        </w:tc>
        <w:tc>
          <w:tcPr>
            <w:tcW w:w="5215" w:type="dxa"/>
          </w:tcPr>
          <w:p w14:paraId="291BA91E" w14:textId="7DEC9E70" w:rsidR="00F61288" w:rsidRDefault="00F61288" w:rsidP="001A1477">
            <w:pPr>
              <w:pStyle w:val="NormalWeb"/>
              <w:jc w:val="center"/>
              <w:rPr>
                <w:rFonts w:ascii="Poppins" w:hAnsi="Poppins" w:cs="Poppins"/>
                <w:b/>
                <w:bCs/>
                <w:color w:val="000000"/>
                <w:sz w:val="22"/>
                <w:szCs w:val="22"/>
              </w:rPr>
            </w:pPr>
            <w:r>
              <w:rPr>
                <w:rFonts w:ascii="Poppins" w:hAnsi="Poppins" w:cs="Poppins"/>
                <w:b/>
                <w:bCs/>
                <w:color w:val="000000"/>
                <w:sz w:val="22"/>
                <w:szCs w:val="22"/>
              </w:rPr>
              <w:t>Master of Education in Instructional Technology</w:t>
            </w:r>
          </w:p>
        </w:tc>
      </w:tr>
      <w:tr w:rsidR="00F61288" w14:paraId="0F3D4E82" w14:textId="77777777" w:rsidTr="00FB0FF0">
        <w:tc>
          <w:tcPr>
            <w:tcW w:w="4135" w:type="dxa"/>
          </w:tcPr>
          <w:p w14:paraId="49CF9231" w14:textId="7E684D82" w:rsidR="00F61288" w:rsidRDefault="00F61288" w:rsidP="00FB0FF0">
            <w:pPr>
              <w:pStyle w:val="NormalWeb"/>
              <w:rPr>
                <w:rFonts w:ascii="Poppins" w:hAnsi="Poppins" w:cs="Poppins"/>
                <w:b/>
                <w:bCs/>
                <w:color w:val="000000"/>
                <w:sz w:val="22"/>
                <w:szCs w:val="22"/>
              </w:rPr>
            </w:pPr>
            <w:r w:rsidRPr="00E4297E">
              <w:rPr>
                <w:rFonts w:ascii="Poppins" w:hAnsi="Poppins" w:cs="Poppins"/>
                <w:b/>
                <w:bCs/>
                <w:color w:val="000000"/>
                <w:sz w:val="22"/>
                <w:szCs w:val="22"/>
              </w:rPr>
              <w:t>No</w:t>
            </w:r>
            <w:r>
              <w:rPr>
                <w:rFonts w:ascii="Poppins" w:hAnsi="Poppins" w:cs="Poppins"/>
                <w:b/>
                <w:bCs/>
                <w:color w:val="000000"/>
                <w:sz w:val="22"/>
                <w:szCs w:val="22"/>
              </w:rPr>
              <w:t>.</w:t>
            </w:r>
            <w:r w:rsidRPr="00E4297E">
              <w:rPr>
                <w:rFonts w:ascii="Poppins" w:hAnsi="Poppins" w:cs="Poppins"/>
                <w:b/>
                <w:bCs/>
                <w:color w:val="000000"/>
                <w:sz w:val="22"/>
                <w:szCs w:val="22"/>
              </w:rPr>
              <w:t xml:space="preserve"> of </w:t>
            </w:r>
            <w:r w:rsidRPr="00E4297E">
              <w:rPr>
                <w:rFonts w:ascii="Poppins" w:hAnsi="Poppins" w:cs="Poppins" w:hint="cs"/>
                <w:b/>
                <w:bCs/>
                <w:color w:val="000000"/>
                <w:sz w:val="22"/>
                <w:szCs w:val="22"/>
                <w:rtl/>
              </w:rPr>
              <w:t xml:space="preserve"> </w:t>
            </w:r>
            <w:r w:rsidRPr="00E4297E">
              <w:rPr>
                <w:rFonts w:ascii="Poppins" w:hAnsi="Poppins" w:cs="Poppins"/>
                <w:b/>
                <w:bCs/>
                <w:color w:val="000000"/>
                <w:sz w:val="22"/>
                <w:szCs w:val="22"/>
              </w:rPr>
              <w:t xml:space="preserve"> External Examiners</w:t>
            </w:r>
            <w:r w:rsidRPr="00E4297E">
              <w:rPr>
                <w:rFonts w:ascii="Poppins" w:hAnsi="Poppins" w:cs="Poppins" w:hint="cs"/>
                <w:b/>
                <w:bCs/>
                <w:color w:val="000000"/>
                <w:sz w:val="22"/>
                <w:szCs w:val="22"/>
                <w:rtl/>
              </w:rPr>
              <w:t xml:space="preserve"> </w:t>
            </w:r>
          </w:p>
        </w:tc>
        <w:tc>
          <w:tcPr>
            <w:tcW w:w="5215" w:type="dxa"/>
          </w:tcPr>
          <w:p w14:paraId="3B282C6E" w14:textId="4FEB4BEC" w:rsidR="00F61288" w:rsidRDefault="00F61288" w:rsidP="00FB0FF0">
            <w:pPr>
              <w:pStyle w:val="NormalWeb"/>
              <w:jc w:val="center"/>
              <w:rPr>
                <w:rFonts w:ascii="Poppins" w:hAnsi="Poppins" w:cs="Poppins"/>
                <w:b/>
                <w:bCs/>
                <w:color w:val="000000"/>
                <w:sz w:val="22"/>
                <w:szCs w:val="22"/>
              </w:rPr>
            </w:pPr>
            <w:r>
              <w:rPr>
                <w:rFonts w:ascii="Poppins" w:hAnsi="Poppins" w:cs="Poppins"/>
                <w:b/>
                <w:bCs/>
                <w:color w:val="000000"/>
                <w:sz w:val="22"/>
                <w:szCs w:val="22"/>
              </w:rPr>
              <w:t>1</w:t>
            </w:r>
          </w:p>
        </w:tc>
      </w:tr>
      <w:tr w:rsidR="00F61288" w14:paraId="012133B0" w14:textId="77777777" w:rsidTr="00FB0FF0">
        <w:tc>
          <w:tcPr>
            <w:tcW w:w="4135" w:type="dxa"/>
          </w:tcPr>
          <w:p w14:paraId="3DF97CD6" w14:textId="02726E5D" w:rsidR="00F61288" w:rsidRDefault="00F61288" w:rsidP="00FB0FF0">
            <w:pPr>
              <w:pStyle w:val="NormalWeb"/>
              <w:rPr>
                <w:rFonts w:ascii="Poppins" w:hAnsi="Poppins" w:cs="Poppins"/>
                <w:b/>
                <w:bCs/>
                <w:color w:val="000000"/>
                <w:sz w:val="22"/>
                <w:szCs w:val="22"/>
              </w:rPr>
            </w:pPr>
            <w:r w:rsidRPr="00E4297E">
              <w:rPr>
                <w:rFonts w:ascii="Poppins" w:hAnsi="Poppins"/>
                <w:b/>
                <w:bCs/>
                <w:color w:val="000000"/>
                <w:sz w:val="22"/>
                <w:szCs w:val="22"/>
              </w:rPr>
              <w:t>No</w:t>
            </w:r>
            <w:r>
              <w:rPr>
                <w:rFonts w:ascii="Poppins" w:hAnsi="Poppins"/>
                <w:b/>
                <w:bCs/>
                <w:color w:val="000000"/>
                <w:sz w:val="22"/>
                <w:szCs w:val="22"/>
              </w:rPr>
              <w:t xml:space="preserve">. of </w:t>
            </w:r>
            <w:r w:rsidRPr="00E4297E">
              <w:rPr>
                <w:rFonts w:ascii="Poppins" w:hAnsi="Poppins"/>
                <w:b/>
                <w:bCs/>
                <w:color w:val="000000"/>
                <w:sz w:val="22"/>
                <w:szCs w:val="22"/>
              </w:rPr>
              <w:t>Externally Examined Courses</w:t>
            </w:r>
          </w:p>
        </w:tc>
        <w:tc>
          <w:tcPr>
            <w:tcW w:w="5215" w:type="dxa"/>
          </w:tcPr>
          <w:p w14:paraId="2736ECA5" w14:textId="487D289C" w:rsidR="00F61288" w:rsidRDefault="00F61288" w:rsidP="00FB0FF0">
            <w:pPr>
              <w:pStyle w:val="NormalWeb"/>
              <w:jc w:val="center"/>
              <w:rPr>
                <w:rFonts w:ascii="Poppins" w:hAnsi="Poppins" w:cs="Poppins"/>
                <w:b/>
                <w:bCs/>
                <w:color w:val="000000"/>
                <w:sz w:val="22"/>
                <w:szCs w:val="22"/>
              </w:rPr>
            </w:pPr>
            <w:r>
              <w:rPr>
                <w:rFonts w:ascii="Poppins" w:hAnsi="Poppins"/>
                <w:b/>
                <w:bCs/>
                <w:color w:val="000000"/>
                <w:sz w:val="22"/>
                <w:szCs w:val="22"/>
              </w:rPr>
              <w:t>12</w:t>
            </w:r>
          </w:p>
        </w:tc>
      </w:tr>
    </w:tbl>
    <w:p w14:paraId="4AD36DCF" w14:textId="29CFA9ED" w:rsidR="00B20844" w:rsidRDefault="00B20844" w:rsidP="003E0C28">
      <w:pPr>
        <w:pStyle w:val="NormalWeb"/>
        <w:numPr>
          <w:ilvl w:val="0"/>
          <w:numId w:val="8"/>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w:t>
      </w:r>
      <w:r w:rsidR="000D246F" w:rsidRPr="000D315E">
        <w:rPr>
          <w:rFonts w:ascii="Poppins" w:hAnsi="Poppins" w:cs="Poppins"/>
          <w:b/>
          <w:bCs/>
          <w:color w:val="000000"/>
          <w:sz w:val="22"/>
          <w:szCs w:val="22"/>
        </w:rPr>
        <w:t xml:space="preserve">Examiners </w:t>
      </w:r>
      <w:r w:rsidR="000D246F">
        <w:rPr>
          <w:rFonts w:ascii="Poppins" w:hAnsi="Poppins" w:cs="Poppins"/>
          <w:b/>
          <w:bCs/>
          <w:color w:val="000000"/>
          <w:sz w:val="22"/>
          <w:szCs w:val="22"/>
        </w:rPr>
        <w:t>response</w:t>
      </w:r>
      <w:r w:rsidR="00F94A02">
        <w:rPr>
          <w:rFonts w:ascii="Poppins" w:hAnsi="Poppins" w:cs="Poppins"/>
          <w:b/>
          <w:bCs/>
          <w:color w:val="000000"/>
          <w:sz w:val="22"/>
          <w:szCs w:val="22"/>
        </w:rPr>
        <w:t xml:space="preserve"> and </w:t>
      </w:r>
      <w:r w:rsidRPr="000D315E">
        <w:rPr>
          <w:rFonts w:ascii="Poppins" w:hAnsi="Poppins" w:cs="Poppins"/>
          <w:b/>
          <w:bCs/>
          <w:color w:val="000000"/>
          <w:sz w:val="22"/>
          <w:szCs w:val="22"/>
        </w:rPr>
        <w:t>Comments:</w:t>
      </w:r>
    </w:p>
    <w:tbl>
      <w:tblPr>
        <w:tblStyle w:val="TableGrid"/>
        <w:tblW w:w="0" w:type="auto"/>
        <w:jc w:val="center"/>
        <w:tblLook w:val="04A0" w:firstRow="1" w:lastRow="0" w:firstColumn="1" w:lastColumn="0" w:noHBand="0" w:noVBand="1"/>
      </w:tblPr>
      <w:tblGrid>
        <w:gridCol w:w="9350"/>
      </w:tblGrid>
      <w:tr w:rsidR="00CD3F0C" w14:paraId="2804E422" w14:textId="77777777" w:rsidTr="00CD3F0C">
        <w:trPr>
          <w:jc w:val="center"/>
        </w:trPr>
        <w:tc>
          <w:tcPr>
            <w:tcW w:w="9350" w:type="dxa"/>
            <w:shd w:val="clear" w:color="auto" w:fill="DEEAF6" w:themeFill="accent1" w:themeFillTint="33"/>
          </w:tcPr>
          <w:p w14:paraId="2C287B09"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the assessment and standards set for the </w:t>
            </w:r>
            <w:proofErr w:type="spellStart"/>
            <w:r w:rsidRPr="00CD3F0C">
              <w:rPr>
                <w:rFonts w:ascii="Poppins" w:hAnsi="Poppins" w:cs="Poppins"/>
                <w:b/>
                <w:bCs/>
                <w:color w:val="000000"/>
                <w:sz w:val="22"/>
                <w:szCs w:val="22"/>
              </w:rPr>
              <w:t>programme</w:t>
            </w:r>
            <w:proofErr w:type="spellEnd"/>
            <w:r w:rsidRPr="00CD3F0C">
              <w:rPr>
                <w:rFonts w:ascii="Poppins" w:hAnsi="Poppins" w:cs="Poppins"/>
                <w:b/>
                <w:bCs/>
                <w:color w:val="000000"/>
                <w:sz w:val="22"/>
                <w:szCs w:val="22"/>
              </w:rPr>
              <w:t xml:space="preserve"> are consistent and appropriate, and that the processes for assessment and determination of awards are fair, reliable across the provision.</w:t>
            </w:r>
          </w:p>
        </w:tc>
      </w:tr>
      <w:tr w:rsidR="00CD3F0C" w14:paraId="3CE9EBE8" w14:textId="77777777" w:rsidTr="00CD3F0C">
        <w:trPr>
          <w:jc w:val="center"/>
        </w:trPr>
        <w:tc>
          <w:tcPr>
            <w:tcW w:w="9350" w:type="dxa"/>
          </w:tcPr>
          <w:p w14:paraId="5EB0BA5A" w14:textId="0321432F" w:rsidR="00CD3F0C" w:rsidRPr="00F61288" w:rsidRDefault="001A1477" w:rsidP="001A1477">
            <w:pPr>
              <w:pStyle w:val="NormalWeb"/>
              <w:jc w:val="both"/>
              <w:rPr>
                <w:rFonts w:ascii="Poppins" w:hAnsi="Poppins" w:cs="Poppins"/>
                <w:color w:val="000000"/>
                <w:sz w:val="22"/>
                <w:szCs w:val="22"/>
              </w:rPr>
            </w:pPr>
            <w:r w:rsidRPr="001A1477">
              <w:rPr>
                <w:rFonts w:ascii="Poppins" w:hAnsi="Poppins" w:cs="Poppins"/>
                <w:color w:val="000000"/>
                <w:sz w:val="22"/>
                <w:szCs w:val="22"/>
              </w:rPr>
              <w:t xml:space="preserve">The </w:t>
            </w:r>
            <w:proofErr w:type="spellStart"/>
            <w:r w:rsidRPr="001A1477">
              <w:rPr>
                <w:rFonts w:ascii="Poppins" w:hAnsi="Poppins" w:cs="Poppins"/>
                <w:color w:val="000000"/>
                <w:sz w:val="22"/>
                <w:szCs w:val="22"/>
              </w:rPr>
              <w:t>programme</w:t>
            </w:r>
            <w:proofErr w:type="spellEnd"/>
            <w:r w:rsidRPr="001A1477">
              <w:rPr>
                <w:rFonts w:ascii="Poppins" w:hAnsi="Poppins" w:cs="Poppins"/>
                <w:color w:val="000000"/>
                <w:sz w:val="22"/>
                <w:szCs w:val="22"/>
              </w:rPr>
              <w:t xml:space="preserve"> is well-structured and consistently delivered with fair assessment procedures across branches. Good practices, such as contextualized learning and research, continue to be reinforced. Candidate performance remains strong and uniform across locations, reflecting consistency in teaching and resources. Moderation procedures are transparent and reliable, ensuring equitable standards through CBM </w:t>
            </w:r>
            <w:r>
              <w:rPr>
                <w:rFonts w:ascii="Poppins" w:hAnsi="Poppins" w:cs="Poppins"/>
                <w:color w:val="000000"/>
                <w:sz w:val="22"/>
                <w:szCs w:val="22"/>
              </w:rPr>
              <w:t xml:space="preserve">moderation </w:t>
            </w:r>
            <w:r w:rsidRPr="001A1477">
              <w:rPr>
                <w:rFonts w:ascii="Poppins" w:hAnsi="Poppins" w:cs="Poppins"/>
                <w:color w:val="000000"/>
                <w:sz w:val="22"/>
                <w:szCs w:val="22"/>
              </w:rPr>
              <w:t>support.</w:t>
            </w:r>
          </w:p>
        </w:tc>
      </w:tr>
    </w:tbl>
    <w:p w14:paraId="750BFB9E"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14:paraId="6DBEE78C" w14:textId="77777777" w:rsidTr="00CD3F0C">
        <w:trPr>
          <w:jc w:val="center"/>
        </w:trPr>
        <w:tc>
          <w:tcPr>
            <w:tcW w:w="9350" w:type="dxa"/>
            <w:shd w:val="clear" w:color="auto" w:fill="DEEAF6" w:themeFill="accent1" w:themeFillTint="33"/>
          </w:tcPr>
          <w:p w14:paraId="67C0E285" w14:textId="6D2A8C14"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sufficient information and evidence of   professional work and students’ assessment were -received by the </w:t>
            </w:r>
            <w:proofErr w:type="spellStart"/>
            <w:r w:rsidRPr="00CD3F0C">
              <w:rPr>
                <w:rFonts w:ascii="Poppins" w:hAnsi="Poppins" w:cs="Poppins"/>
                <w:b/>
                <w:bCs/>
                <w:color w:val="000000"/>
                <w:sz w:val="22"/>
                <w:szCs w:val="22"/>
              </w:rPr>
              <w:t>programmes’</w:t>
            </w:r>
            <w:proofErr w:type="spellEnd"/>
            <w:r w:rsidRPr="00CD3F0C">
              <w:rPr>
                <w:rFonts w:ascii="Poppins" w:hAnsi="Poppins" w:cs="Poppins"/>
                <w:b/>
                <w:bCs/>
                <w:color w:val="000000"/>
                <w:sz w:val="22"/>
                <w:szCs w:val="22"/>
              </w:rPr>
              <w:t xml:space="preserve"> external examiners to </w:t>
            </w:r>
            <w:r w:rsidR="000D246F" w:rsidRPr="00CD3F0C">
              <w:rPr>
                <w:rFonts w:ascii="Poppins" w:hAnsi="Poppins" w:cs="Poppins"/>
                <w:b/>
                <w:bCs/>
                <w:color w:val="000000"/>
                <w:sz w:val="22"/>
                <w:szCs w:val="22"/>
              </w:rPr>
              <w:t>enable them</w:t>
            </w:r>
            <w:r w:rsidRPr="00CD3F0C">
              <w:rPr>
                <w:rFonts w:ascii="Poppins" w:hAnsi="Poppins" w:cs="Poppins"/>
                <w:b/>
                <w:bCs/>
                <w:color w:val="000000"/>
                <w:sz w:val="22"/>
                <w:szCs w:val="22"/>
              </w:rPr>
              <w:t xml:space="preserve"> </w:t>
            </w:r>
            <w:proofErr w:type="gramStart"/>
            <w:r w:rsidRPr="00CD3F0C">
              <w:rPr>
                <w:rFonts w:ascii="Poppins" w:hAnsi="Poppins" w:cs="Poppins"/>
                <w:b/>
                <w:bCs/>
                <w:color w:val="000000"/>
                <w:sz w:val="22"/>
                <w:szCs w:val="22"/>
              </w:rPr>
              <w:t>to t</w:t>
            </w:r>
            <w:proofErr w:type="gramEnd"/>
            <w:r w:rsidRPr="00CD3F0C">
              <w:rPr>
                <w:rFonts w:ascii="Poppins" w:hAnsi="Poppins" w:cs="Poppins"/>
                <w:b/>
                <w:bCs/>
                <w:color w:val="000000"/>
                <w:sz w:val="22"/>
                <w:szCs w:val="22"/>
              </w:rPr>
              <w:t xml:space="preserve"> fulfill </w:t>
            </w:r>
            <w:r w:rsidR="000D246F" w:rsidRPr="00CD3F0C">
              <w:rPr>
                <w:rFonts w:ascii="Poppins" w:hAnsi="Poppins" w:cs="Poppins"/>
                <w:b/>
                <w:bCs/>
                <w:color w:val="000000"/>
                <w:sz w:val="22"/>
                <w:szCs w:val="22"/>
              </w:rPr>
              <w:t>their role</w:t>
            </w:r>
            <w:r w:rsidRPr="00CD3F0C">
              <w:rPr>
                <w:rFonts w:ascii="Poppins" w:hAnsi="Poppins" w:cs="Poppins"/>
                <w:b/>
                <w:bCs/>
                <w:color w:val="000000"/>
                <w:sz w:val="22"/>
                <w:szCs w:val="22"/>
              </w:rPr>
              <w:t>.</w:t>
            </w:r>
          </w:p>
        </w:tc>
      </w:tr>
      <w:tr w:rsidR="00CD3F0C" w14:paraId="75516E8E" w14:textId="77777777" w:rsidTr="00CD3F0C">
        <w:trPr>
          <w:jc w:val="center"/>
        </w:trPr>
        <w:tc>
          <w:tcPr>
            <w:tcW w:w="9350" w:type="dxa"/>
          </w:tcPr>
          <w:p w14:paraId="4FC5E0E4" w14:textId="759B2967" w:rsidR="00CD3F0C" w:rsidRPr="00F61288" w:rsidRDefault="00B504D3" w:rsidP="00F61288">
            <w:pPr>
              <w:pStyle w:val="NormalWeb"/>
              <w:jc w:val="both"/>
              <w:rPr>
                <w:rFonts w:ascii="Poppins" w:hAnsi="Poppins" w:cs="Poppins"/>
                <w:color w:val="000000"/>
                <w:sz w:val="22"/>
                <w:szCs w:val="22"/>
              </w:rPr>
            </w:pPr>
            <w:r w:rsidRPr="00F61288">
              <w:rPr>
                <w:rFonts w:ascii="Poppins" w:hAnsi="Poppins" w:cs="Poppins"/>
                <w:color w:val="000000"/>
                <w:sz w:val="22"/>
                <w:szCs w:val="22"/>
              </w:rPr>
              <w:t xml:space="preserve">Portfolios for all the modules offered in the 24-25 Fall term were provided. I received a comprehensive range of samples to moderate, and there was ample time to review the work ahead of the exam boards. The new structure for presenting the </w:t>
            </w:r>
            <w:r w:rsidRPr="00F61288">
              <w:rPr>
                <w:rFonts w:ascii="Poppins" w:hAnsi="Poppins" w:cs="Poppins"/>
                <w:color w:val="000000"/>
                <w:sz w:val="22"/>
                <w:szCs w:val="22"/>
              </w:rPr>
              <w:lastRenderedPageBreak/>
              <w:t>portfolios greatly facilitated the review process, offering a clear overview of the procedures followed and the modifications made to improve delivery and candidate performance. It was particularly helpful to have the detailed module/assessment portfolios and samples from across the full mark range.</w:t>
            </w:r>
          </w:p>
        </w:tc>
      </w:tr>
    </w:tbl>
    <w:p w14:paraId="500B34B9"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CD3F0C" w14:paraId="67B9E572" w14:textId="77777777" w:rsidTr="00CD3F0C">
        <w:tc>
          <w:tcPr>
            <w:tcW w:w="9350" w:type="dxa"/>
            <w:shd w:val="clear" w:color="auto" w:fill="DEEAF6" w:themeFill="accent1" w:themeFillTint="33"/>
          </w:tcPr>
          <w:p w14:paraId="58F26FDA"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CD3F0C" w14:paraId="7230DB5E" w14:textId="77777777" w:rsidTr="00CD3F0C">
        <w:tc>
          <w:tcPr>
            <w:tcW w:w="9350" w:type="dxa"/>
          </w:tcPr>
          <w:p w14:paraId="3C788F99" w14:textId="77777777" w:rsidR="00CD3F0C" w:rsidRDefault="000D246F" w:rsidP="001A1477">
            <w:pPr>
              <w:pStyle w:val="NormalWeb"/>
              <w:numPr>
                <w:ilvl w:val="0"/>
                <w:numId w:val="15"/>
              </w:numPr>
              <w:jc w:val="both"/>
              <w:rPr>
                <w:rFonts w:ascii="Poppins" w:hAnsi="Poppins" w:cs="Poppins"/>
                <w:color w:val="000000"/>
                <w:sz w:val="22"/>
                <w:szCs w:val="22"/>
              </w:rPr>
            </w:pPr>
            <w:r w:rsidRPr="000D246F">
              <w:rPr>
                <w:rFonts w:ascii="Poppins" w:hAnsi="Poppins" w:cs="Poppins"/>
                <w:color w:val="000000"/>
                <w:sz w:val="22"/>
                <w:szCs w:val="22"/>
              </w:rPr>
              <w:t>The new portfolio structure made the review process easier by clearly showing procedures and improvements. Having detailed assessment portfolios and a full range of graded samples was especially useful.</w:t>
            </w:r>
          </w:p>
          <w:p w14:paraId="243EB1F9" w14:textId="77777777" w:rsidR="000D246F" w:rsidRDefault="000D246F" w:rsidP="001A1477">
            <w:pPr>
              <w:pStyle w:val="NormalWeb"/>
              <w:numPr>
                <w:ilvl w:val="0"/>
                <w:numId w:val="15"/>
              </w:numPr>
              <w:jc w:val="both"/>
              <w:rPr>
                <w:rFonts w:ascii="Poppins" w:hAnsi="Poppins" w:cs="Poppins"/>
                <w:color w:val="000000"/>
                <w:sz w:val="22"/>
                <w:szCs w:val="22"/>
              </w:rPr>
            </w:pPr>
            <w:r w:rsidRPr="000D246F">
              <w:rPr>
                <w:rFonts w:ascii="Poppins" w:hAnsi="Poppins" w:cs="Poppins"/>
                <w:color w:val="000000"/>
                <w:sz w:val="22"/>
                <w:szCs w:val="22"/>
              </w:rPr>
              <w:t>There is continued evidence, both in documentation and discussions with staff, of research-informed teaching and strong engagement with emerging technologies.</w:t>
            </w:r>
          </w:p>
          <w:p w14:paraId="143E68EA" w14:textId="77777777" w:rsidR="000D246F" w:rsidRDefault="000D246F" w:rsidP="001A1477">
            <w:pPr>
              <w:pStyle w:val="NormalWeb"/>
              <w:numPr>
                <w:ilvl w:val="0"/>
                <w:numId w:val="15"/>
              </w:numPr>
              <w:jc w:val="both"/>
              <w:rPr>
                <w:rFonts w:ascii="Poppins" w:hAnsi="Poppins" w:cs="Poppins"/>
                <w:color w:val="000000"/>
                <w:sz w:val="22"/>
                <w:szCs w:val="22"/>
              </w:rPr>
            </w:pPr>
            <w:r>
              <w:rPr>
                <w:rFonts w:ascii="Poppins" w:hAnsi="Poppins" w:cs="Poppins"/>
                <w:color w:val="000000"/>
                <w:sz w:val="22"/>
                <w:szCs w:val="22"/>
              </w:rPr>
              <w:t>T</w:t>
            </w:r>
            <w:r w:rsidRPr="000D246F">
              <w:rPr>
                <w:rFonts w:ascii="Poppins" w:hAnsi="Poppins" w:cs="Poppins"/>
                <w:color w:val="000000"/>
                <w:sz w:val="22"/>
                <w:szCs w:val="22"/>
              </w:rPr>
              <w:t>he support, feedback, and supplementary materials provided by the teaching team remain effective in helping students meet learning outcomes while also offering valuable scaffolding for those who need additional assistance.</w:t>
            </w:r>
          </w:p>
          <w:p w14:paraId="61A42BCA" w14:textId="11D35480" w:rsidR="000D246F" w:rsidRPr="001A1477" w:rsidRDefault="000D246F" w:rsidP="001A1477">
            <w:pPr>
              <w:pStyle w:val="NormalWeb"/>
              <w:numPr>
                <w:ilvl w:val="0"/>
                <w:numId w:val="15"/>
              </w:numPr>
              <w:jc w:val="both"/>
              <w:rPr>
                <w:rFonts w:ascii="Poppins" w:hAnsi="Poppins" w:cs="Poppins"/>
                <w:color w:val="000000"/>
                <w:sz w:val="22"/>
                <w:szCs w:val="22"/>
              </w:rPr>
            </w:pPr>
            <w:r w:rsidRPr="000D246F">
              <w:rPr>
                <w:rFonts w:ascii="Poppins" w:hAnsi="Poppins" w:cs="Poppins"/>
                <w:color w:val="000000"/>
                <w:sz w:val="22"/>
                <w:szCs w:val="22"/>
              </w:rPr>
              <w:t>candidates demonstrate very good knowledge and technical awareness and effectively apply their skills.</w:t>
            </w:r>
          </w:p>
        </w:tc>
      </w:tr>
    </w:tbl>
    <w:p w14:paraId="575C9012" w14:textId="77777777" w:rsidR="003E0C28" w:rsidRDefault="003E0C28" w:rsidP="00EB43DC">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CD3F0C" w14:paraId="1DB13976" w14:textId="77777777" w:rsidTr="00CD3F0C">
        <w:tc>
          <w:tcPr>
            <w:tcW w:w="9350" w:type="dxa"/>
            <w:shd w:val="clear" w:color="auto" w:fill="DEEAF6" w:themeFill="accent1" w:themeFillTint="33"/>
          </w:tcPr>
          <w:p w14:paraId="150FE42C"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CD3F0C" w14:paraId="2A9BE696" w14:textId="77777777" w:rsidTr="00CD3F0C">
        <w:tc>
          <w:tcPr>
            <w:tcW w:w="9350" w:type="dxa"/>
          </w:tcPr>
          <w:p w14:paraId="32F636AA" w14:textId="735D6F30" w:rsidR="000D246F" w:rsidRDefault="000D246F" w:rsidP="001A1477">
            <w:pPr>
              <w:pStyle w:val="NormalWeb"/>
              <w:jc w:val="both"/>
              <w:rPr>
                <w:rFonts w:ascii="Poppins" w:hAnsi="Poppins" w:cs="Poppins"/>
                <w:color w:val="000000"/>
                <w:sz w:val="22"/>
                <w:szCs w:val="22"/>
              </w:rPr>
            </w:pPr>
            <w:r>
              <w:rPr>
                <w:rFonts w:ascii="Poppins" w:hAnsi="Poppins" w:cs="Poppins"/>
                <w:color w:val="000000"/>
                <w:sz w:val="22"/>
                <w:szCs w:val="22"/>
              </w:rPr>
              <w:t>T</w:t>
            </w:r>
            <w:r w:rsidRPr="000D246F">
              <w:rPr>
                <w:rFonts w:ascii="Poppins" w:hAnsi="Poppins" w:cs="Poppins"/>
                <w:color w:val="000000"/>
                <w:sz w:val="22"/>
                <w:szCs w:val="22"/>
              </w:rPr>
              <w:t>he assessments were not seen before circulation, presumed approved by the previous EE. I expect assessments for the new academic year will be sent before each term in the next round.</w:t>
            </w:r>
          </w:p>
        </w:tc>
      </w:tr>
    </w:tbl>
    <w:p w14:paraId="575B6513" w14:textId="77777777" w:rsidR="00034B7A" w:rsidRDefault="00034B7A" w:rsidP="00626100">
      <w:pPr>
        <w:rPr>
          <w:rFonts w:ascii="Poppins" w:hAnsi="Poppins" w:cs="Poppins"/>
          <w:b/>
          <w:bCs/>
        </w:rPr>
      </w:pPr>
    </w:p>
    <w:p w14:paraId="68416DC8" w14:textId="77777777" w:rsidR="00034B7A" w:rsidRDefault="00F94A02" w:rsidP="00A83342">
      <w:pPr>
        <w:pStyle w:val="ListParagraph"/>
        <w:numPr>
          <w:ilvl w:val="0"/>
          <w:numId w:val="8"/>
        </w:numPr>
        <w:rPr>
          <w:rFonts w:ascii="Poppins" w:hAnsi="Poppins" w:cs="Poppins"/>
          <w:b/>
          <w:bCs/>
        </w:rPr>
      </w:pPr>
      <w:r>
        <w:rPr>
          <w:rFonts w:ascii="Poppins" w:hAnsi="Poppins" w:cs="Poppins"/>
          <w:b/>
          <w:bCs/>
        </w:rPr>
        <w:t xml:space="preserve"> Extracts from </w:t>
      </w:r>
      <w:r w:rsidR="0015433C">
        <w:rPr>
          <w:rFonts w:ascii="Poppins" w:hAnsi="Poppins" w:cs="Poppins"/>
          <w:b/>
          <w:bCs/>
        </w:rPr>
        <w:t xml:space="preserve">External Examiners </w:t>
      </w:r>
      <w:r w:rsidR="00935273">
        <w:rPr>
          <w:rFonts w:ascii="Poppins" w:hAnsi="Poppins" w:cs="Poppins"/>
          <w:b/>
          <w:bCs/>
        </w:rPr>
        <w:t>report</w:t>
      </w:r>
      <w:r w:rsidR="00A83342">
        <w:rPr>
          <w:rFonts w:ascii="Poppins" w:hAnsi="Poppins" w:cs="Poppins"/>
          <w:b/>
          <w:bCs/>
        </w:rPr>
        <w:t xml:space="preserve"> form</w:t>
      </w:r>
    </w:p>
    <w:p w14:paraId="311D705E" w14:textId="14130771" w:rsidR="00F20D0B" w:rsidRPr="00034B7A" w:rsidRDefault="00E5298F" w:rsidP="00F94A02">
      <w:pPr>
        <w:rPr>
          <w:rFonts w:ascii="Poppins" w:hAnsi="Poppins" w:cs="Poppins"/>
          <w:b/>
          <w:bCs/>
        </w:rPr>
      </w:pPr>
      <w:r w:rsidRPr="00034B7A">
        <w:rPr>
          <w:rFonts w:ascii="Poppins" w:hAnsi="Poppins" w:cs="Poppins"/>
          <w:b/>
          <w:bCs/>
        </w:rPr>
        <w:t>External Examiner</w:t>
      </w:r>
      <w:r w:rsidR="00F94A02">
        <w:rPr>
          <w:rFonts w:ascii="Poppins" w:hAnsi="Poppins" w:cs="Poppins"/>
          <w:b/>
          <w:bCs/>
        </w:rPr>
        <w:t xml:space="preserve"> Name</w:t>
      </w:r>
      <w:r w:rsidRPr="00034B7A">
        <w:rPr>
          <w:rFonts w:ascii="Poppins" w:hAnsi="Poppins" w:cs="Poppins"/>
          <w:b/>
          <w:bCs/>
        </w:rPr>
        <w:t>:</w:t>
      </w:r>
      <w:r w:rsidR="000D246F">
        <w:rPr>
          <w:rFonts w:ascii="Poppins" w:hAnsi="Poppins" w:cs="Poppins"/>
          <w:b/>
          <w:bCs/>
        </w:rPr>
        <w:t xml:space="preserve"> Dr. Yasmine Arafa</w:t>
      </w:r>
    </w:p>
    <w:p w14:paraId="516C9067" w14:textId="6EF24966" w:rsidR="00E5298F" w:rsidRPr="000D315E" w:rsidRDefault="00626100">
      <w:pPr>
        <w:rPr>
          <w:rFonts w:ascii="Poppins" w:hAnsi="Poppins" w:cs="Poppins"/>
          <w:b/>
          <w:bCs/>
        </w:rPr>
      </w:pPr>
      <w:r>
        <w:rPr>
          <w:rFonts w:ascii="Poppins" w:hAnsi="Poppins" w:cs="Poppins"/>
          <w:b/>
          <w:bCs/>
        </w:rPr>
        <w:t xml:space="preserve"> Examined </w:t>
      </w:r>
      <w:r w:rsidR="00E5298F" w:rsidRPr="000D315E">
        <w:rPr>
          <w:rFonts w:ascii="Poppins" w:hAnsi="Poppins" w:cs="Poppins"/>
          <w:b/>
          <w:bCs/>
        </w:rPr>
        <w:t>Modules:</w:t>
      </w:r>
      <w:r w:rsidR="000D246F">
        <w:rPr>
          <w:rFonts w:ascii="Poppins" w:hAnsi="Poppins" w:cs="Poppins"/>
          <w:b/>
          <w:bCs/>
        </w:rPr>
        <w:t xml:space="preserve"> 12</w:t>
      </w:r>
    </w:p>
    <w:p w14:paraId="4CEC997B" w14:textId="77777777" w:rsidR="000C1607" w:rsidRPr="000D315E" w:rsidRDefault="000C1607"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F94A02">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8F1E23" w14:paraId="55CFD95D" w14:textId="77777777" w:rsidTr="001A1477">
        <w:trPr>
          <w:trHeight w:val="548"/>
        </w:trPr>
        <w:tc>
          <w:tcPr>
            <w:tcW w:w="9350" w:type="dxa"/>
            <w:shd w:val="clear" w:color="auto" w:fill="DEEAF6" w:themeFill="accent1" w:themeFillTint="33"/>
          </w:tcPr>
          <w:p w14:paraId="2BC8EA43"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8F1E23" w14:paraId="2C4981B0" w14:textId="77777777" w:rsidTr="008F1E23">
        <w:trPr>
          <w:trHeight w:val="773"/>
        </w:trPr>
        <w:tc>
          <w:tcPr>
            <w:tcW w:w="9350" w:type="dxa"/>
          </w:tcPr>
          <w:p w14:paraId="21D2BA80" w14:textId="52180489" w:rsidR="008F1E23" w:rsidRDefault="00B504D3" w:rsidP="001A1477">
            <w:pPr>
              <w:pStyle w:val="NormalWeb"/>
              <w:spacing w:line="276" w:lineRule="auto"/>
              <w:jc w:val="both"/>
              <w:rPr>
                <w:rFonts w:ascii="Poppins" w:hAnsi="Poppins" w:cs="Poppins"/>
                <w:color w:val="000000"/>
                <w:sz w:val="22"/>
                <w:szCs w:val="22"/>
              </w:rPr>
            </w:pPr>
            <w:r w:rsidRPr="00B504D3">
              <w:rPr>
                <w:rFonts w:ascii="Poppins" w:hAnsi="Poppins" w:cs="Poppins"/>
                <w:color w:val="000000"/>
                <w:sz w:val="22"/>
                <w:szCs w:val="22"/>
              </w:rPr>
              <w:lastRenderedPageBreak/>
              <w:t xml:space="preserve">The standards continue to be appropriately set and are comparable to similar HE </w:t>
            </w:r>
            <w:proofErr w:type="spellStart"/>
            <w:r w:rsidRPr="00B504D3">
              <w:rPr>
                <w:rFonts w:ascii="Poppins" w:hAnsi="Poppins" w:cs="Poppins"/>
                <w:color w:val="000000"/>
                <w:sz w:val="22"/>
                <w:szCs w:val="22"/>
              </w:rPr>
              <w:t>programmes</w:t>
            </w:r>
            <w:proofErr w:type="spellEnd"/>
            <w:r w:rsidRPr="00B504D3">
              <w:rPr>
                <w:rFonts w:ascii="Poppins" w:hAnsi="Poppins" w:cs="Poppins"/>
                <w:color w:val="000000"/>
                <w:sz w:val="22"/>
                <w:szCs w:val="22"/>
              </w:rPr>
              <w:t xml:space="preserve"> in the UK. As mentioned in previous reports, the threshold academic standards set for the modules/award are well-informed by the subject benchmarks in Education studies and meet the expectations for master's degrees. The </w:t>
            </w:r>
            <w:proofErr w:type="spellStart"/>
            <w:r w:rsidRPr="00B504D3">
              <w:rPr>
                <w:rFonts w:ascii="Poppins" w:hAnsi="Poppins" w:cs="Poppins"/>
                <w:color w:val="000000"/>
                <w:sz w:val="22"/>
                <w:szCs w:val="22"/>
              </w:rPr>
              <w:t>programme</w:t>
            </w:r>
            <w:proofErr w:type="spellEnd"/>
            <w:r w:rsidRPr="00B504D3">
              <w:rPr>
                <w:rFonts w:ascii="Poppins" w:hAnsi="Poppins" w:cs="Poppins"/>
                <w:color w:val="000000"/>
                <w:sz w:val="22"/>
                <w:szCs w:val="22"/>
              </w:rPr>
              <w:t xml:space="preserve"> structure supports the development of a broad skill set in the subject area and integrates established and emerging technologies. Learning outcomes and assessments are designed to encourage candidates to research and apply these technologies in depth, fostering the ability to adapt and use them effectively in their future careers.</w:t>
            </w:r>
          </w:p>
        </w:tc>
      </w:tr>
    </w:tbl>
    <w:p w14:paraId="1B0117D4" w14:textId="77777777" w:rsidR="00935273" w:rsidRDefault="0093527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40D32497" w14:textId="77777777" w:rsidTr="001A1477">
        <w:trPr>
          <w:trHeight w:val="548"/>
        </w:trPr>
        <w:tc>
          <w:tcPr>
            <w:tcW w:w="9350" w:type="dxa"/>
            <w:shd w:val="clear" w:color="auto" w:fill="DEEAF6" w:themeFill="accent1" w:themeFillTint="33"/>
          </w:tcPr>
          <w:p w14:paraId="13FBE028"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8F1E23" w14:paraId="5D8DBF54" w14:textId="77777777" w:rsidTr="001627F0">
        <w:trPr>
          <w:trHeight w:val="773"/>
        </w:trPr>
        <w:tc>
          <w:tcPr>
            <w:tcW w:w="9350" w:type="dxa"/>
          </w:tcPr>
          <w:p w14:paraId="7F2F8852" w14:textId="7861DE9E" w:rsidR="008F1E23" w:rsidRDefault="00B37784" w:rsidP="001A1477">
            <w:pPr>
              <w:pStyle w:val="NormalWeb"/>
              <w:spacing w:line="276" w:lineRule="auto"/>
              <w:jc w:val="both"/>
              <w:rPr>
                <w:rFonts w:ascii="Poppins" w:hAnsi="Poppins" w:cs="Poppins"/>
                <w:color w:val="000000"/>
                <w:sz w:val="22"/>
                <w:szCs w:val="22"/>
              </w:rPr>
            </w:pPr>
            <w:r w:rsidRPr="00B504D3">
              <w:rPr>
                <w:rFonts w:ascii="Poppins" w:hAnsi="Poppins" w:cs="Poppins"/>
                <w:color w:val="000000"/>
                <w:sz w:val="22"/>
                <w:szCs w:val="22"/>
              </w:rPr>
              <w:t xml:space="preserve">The quality of work and overall performance on the </w:t>
            </w:r>
            <w:proofErr w:type="spellStart"/>
            <w:r w:rsidRPr="00B504D3">
              <w:rPr>
                <w:rFonts w:ascii="Poppins" w:hAnsi="Poppins" w:cs="Poppins"/>
                <w:color w:val="000000"/>
                <w:sz w:val="22"/>
                <w:szCs w:val="22"/>
              </w:rPr>
              <w:t>programme</w:t>
            </w:r>
            <w:proofErr w:type="spellEnd"/>
            <w:r w:rsidRPr="00B504D3">
              <w:rPr>
                <w:rFonts w:ascii="Poppins" w:hAnsi="Poppins" w:cs="Poppins"/>
                <w:color w:val="000000"/>
                <w:sz w:val="22"/>
                <w:szCs w:val="22"/>
              </w:rPr>
              <w:t xml:space="preserve"> are consistent with expectations for postgraduate study and comparable to similar </w:t>
            </w:r>
            <w:proofErr w:type="spellStart"/>
            <w:r w:rsidRPr="00B504D3">
              <w:rPr>
                <w:rFonts w:ascii="Poppins" w:hAnsi="Poppins" w:cs="Poppins"/>
                <w:color w:val="000000"/>
                <w:sz w:val="22"/>
                <w:szCs w:val="22"/>
              </w:rPr>
              <w:t>programmes</w:t>
            </w:r>
            <w:proofErr w:type="spellEnd"/>
            <w:r w:rsidRPr="00B504D3">
              <w:rPr>
                <w:rFonts w:ascii="Poppins" w:hAnsi="Poppins" w:cs="Poppins"/>
                <w:color w:val="000000"/>
                <w:sz w:val="22"/>
                <w:szCs w:val="22"/>
              </w:rPr>
              <w:t xml:space="preserve"> I have reviewed.</w:t>
            </w:r>
          </w:p>
        </w:tc>
      </w:tr>
    </w:tbl>
    <w:p w14:paraId="21F1D801"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32B0538C" w14:textId="77777777" w:rsidTr="001A1477">
        <w:trPr>
          <w:trHeight w:val="548"/>
        </w:trPr>
        <w:tc>
          <w:tcPr>
            <w:tcW w:w="9350" w:type="dxa"/>
            <w:shd w:val="clear" w:color="auto" w:fill="DEEAF6" w:themeFill="accent1" w:themeFillTint="33"/>
          </w:tcPr>
          <w:p w14:paraId="55F853B6" w14:textId="5D53F5C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r w:rsidR="001A1477">
              <w:rPr>
                <w:rFonts w:ascii="Poppins" w:hAnsi="Poppins" w:cs="Poppins"/>
                <w:color w:val="000000"/>
                <w:sz w:val="22"/>
                <w:szCs w:val="22"/>
              </w:rPr>
              <w:t>achievement of</w:t>
            </w:r>
            <w:r>
              <w:rPr>
                <w:rFonts w:ascii="Poppins" w:hAnsi="Poppins" w:cs="Poppins"/>
                <w:color w:val="000000"/>
                <w:sz w:val="22"/>
                <w:szCs w:val="22"/>
              </w:rPr>
              <w:t xml:space="preserve"> learning outcomes</w:t>
            </w:r>
          </w:p>
        </w:tc>
      </w:tr>
      <w:tr w:rsidR="008F1E23" w14:paraId="5E9FA1DE" w14:textId="77777777" w:rsidTr="001627F0">
        <w:trPr>
          <w:trHeight w:val="773"/>
        </w:trPr>
        <w:tc>
          <w:tcPr>
            <w:tcW w:w="9350" w:type="dxa"/>
          </w:tcPr>
          <w:p w14:paraId="3181E0F3" w14:textId="43F1526D" w:rsidR="008F1E23" w:rsidRDefault="00B504D3" w:rsidP="001A1477">
            <w:pPr>
              <w:pStyle w:val="NormalWeb"/>
              <w:spacing w:line="276" w:lineRule="auto"/>
              <w:jc w:val="both"/>
              <w:rPr>
                <w:rFonts w:ascii="Poppins" w:hAnsi="Poppins" w:cs="Poppins"/>
                <w:color w:val="000000"/>
                <w:sz w:val="22"/>
                <w:szCs w:val="22"/>
              </w:rPr>
            </w:pPr>
            <w:r w:rsidRPr="00B504D3">
              <w:rPr>
                <w:rFonts w:ascii="Poppins" w:hAnsi="Poppins" w:cs="Poppins"/>
                <w:color w:val="000000"/>
                <w:sz w:val="22"/>
                <w:szCs w:val="22"/>
              </w:rPr>
              <w:t xml:space="preserve">The samples generally reflect good synergy of theoretical knowledge and practical application. Candidates demonstrate a solid understanding of the core concepts and the applied use of educational technology. They are generally able to effectively apply them to practice-based scenarios. There continue to be some excellent examples of sector-focused practical work, appropriately </w:t>
            </w:r>
            <w:proofErr w:type="spellStart"/>
            <w:r w:rsidRPr="00B504D3">
              <w:rPr>
                <w:rFonts w:ascii="Poppins" w:hAnsi="Poppins" w:cs="Poppins"/>
                <w:color w:val="000000"/>
                <w:sz w:val="22"/>
                <w:szCs w:val="22"/>
              </w:rPr>
              <w:t>contextualised</w:t>
            </w:r>
            <w:proofErr w:type="spellEnd"/>
            <w:r w:rsidRPr="00B504D3">
              <w:rPr>
                <w:rFonts w:ascii="Poppins" w:hAnsi="Poppins" w:cs="Poppins"/>
                <w:color w:val="000000"/>
                <w:sz w:val="22"/>
                <w:szCs w:val="22"/>
              </w:rPr>
              <w:t xml:space="preserve"> within candidates’ subject-specific areas of expertise. The grades awarded suitably reflect the level of effort and technical proficiency demonstrated.</w:t>
            </w:r>
          </w:p>
        </w:tc>
      </w:tr>
    </w:tbl>
    <w:p w14:paraId="2D11A874"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314B7A1B" w14:textId="77777777" w:rsidTr="001A1477">
        <w:trPr>
          <w:trHeight w:val="548"/>
        </w:trPr>
        <w:tc>
          <w:tcPr>
            <w:tcW w:w="9350" w:type="dxa"/>
            <w:shd w:val="clear" w:color="auto" w:fill="DEEAF6" w:themeFill="accent1" w:themeFillTint="33"/>
          </w:tcPr>
          <w:p w14:paraId="197825B6"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8F1E23" w14:paraId="62151595" w14:textId="77777777" w:rsidTr="001627F0">
        <w:trPr>
          <w:trHeight w:val="773"/>
        </w:trPr>
        <w:tc>
          <w:tcPr>
            <w:tcW w:w="9350" w:type="dxa"/>
          </w:tcPr>
          <w:p w14:paraId="288185CC" w14:textId="77777777" w:rsidR="00B37784" w:rsidRPr="00FC7802" w:rsidRDefault="00B37784" w:rsidP="00B37784">
            <w:pPr>
              <w:pStyle w:val="NormalWeb"/>
              <w:spacing w:line="276" w:lineRule="auto"/>
              <w:rPr>
                <w:rFonts w:ascii="Poppins" w:hAnsi="Poppins" w:cs="Poppins"/>
                <w:b/>
                <w:bCs/>
                <w:color w:val="000000"/>
                <w:sz w:val="22"/>
                <w:szCs w:val="22"/>
              </w:rPr>
            </w:pPr>
            <w:r w:rsidRPr="00FC7802">
              <w:rPr>
                <w:rFonts w:ascii="Poppins" w:hAnsi="Poppins" w:cs="Poppins"/>
                <w:b/>
                <w:bCs/>
                <w:color w:val="000000"/>
                <w:sz w:val="22"/>
                <w:szCs w:val="22"/>
              </w:rPr>
              <w:lastRenderedPageBreak/>
              <w:t xml:space="preserve">Strengths: </w:t>
            </w:r>
          </w:p>
          <w:p w14:paraId="11DE5D6C" w14:textId="77777777" w:rsidR="00B37784" w:rsidRDefault="00B37784" w:rsidP="001A1477">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 As noted in previous reports, candidates demonstrate very good knowledge and technical awareness and effectively apply their skills. The development of practical and technical application skills builds well between the different modules on the </w:t>
            </w:r>
            <w:proofErr w:type="spellStart"/>
            <w:r w:rsidRPr="00B37784">
              <w:rPr>
                <w:rFonts w:ascii="Poppins" w:hAnsi="Poppins" w:cs="Poppins"/>
                <w:color w:val="000000"/>
                <w:sz w:val="22"/>
                <w:szCs w:val="22"/>
              </w:rPr>
              <w:t>programme</w:t>
            </w:r>
            <w:proofErr w:type="spellEnd"/>
            <w:r w:rsidRPr="00B37784">
              <w:rPr>
                <w:rFonts w:ascii="Poppins" w:hAnsi="Poppins" w:cs="Poppins"/>
                <w:color w:val="000000"/>
                <w:sz w:val="22"/>
                <w:szCs w:val="22"/>
              </w:rPr>
              <w:t>. Most candidates can demonstrate an accomplished degree of technical application to educational material in their disciplines of expertise.</w:t>
            </w:r>
          </w:p>
          <w:p w14:paraId="5269C2B0" w14:textId="34F34869" w:rsidR="00B37784" w:rsidRDefault="00B37784" w:rsidP="001A1477">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 - Interest in further research. It is evident from the review that the faculty continues to go to great lengths to prepare candidates to think about their future careers and </w:t>
            </w:r>
            <w:r w:rsidRPr="00B37784">
              <w:rPr>
                <w:rFonts w:ascii="Poppins" w:hAnsi="Poppins" w:cs="Poppins"/>
                <w:color w:val="000000"/>
                <w:sz w:val="22"/>
                <w:szCs w:val="22"/>
              </w:rPr>
              <w:t>encourage</w:t>
            </w:r>
            <w:r w:rsidRPr="00B37784">
              <w:rPr>
                <w:rFonts w:ascii="Poppins" w:hAnsi="Poppins" w:cs="Poppins"/>
                <w:color w:val="000000"/>
                <w:sz w:val="22"/>
                <w:szCs w:val="22"/>
              </w:rPr>
              <w:t xml:space="preserve"> research and practical application. </w:t>
            </w:r>
          </w:p>
          <w:p w14:paraId="38EC2377" w14:textId="1AB2A4D2" w:rsidR="00B37784" w:rsidRDefault="00B37784" w:rsidP="001A1477">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 Candidates consistently spoke positively about their experiences. They spoke highly about the support and approachability of the staff and voiced their appreciation for the clarity and depth of the teaching material. They also commended the flexibility of the </w:t>
            </w:r>
            <w:proofErr w:type="spellStart"/>
            <w:r w:rsidRPr="00B37784">
              <w:rPr>
                <w:rFonts w:ascii="Poppins" w:hAnsi="Poppins" w:cs="Poppins"/>
                <w:color w:val="000000"/>
                <w:sz w:val="22"/>
                <w:szCs w:val="22"/>
              </w:rPr>
              <w:t>programme</w:t>
            </w:r>
            <w:proofErr w:type="spellEnd"/>
            <w:r w:rsidRPr="00B37784">
              <w:rPr>
                <w:rFonts w:ascii="Poppins" w:hAnsi="Poppins" w:cs="Poppins"/>
                <w:color w:val="000000"/>
                <w:sz w:val="22"/>
                <w:szCs w:val="22"/>
              </w:rPr>
              <w:t xml:space="preserve"> and the teaching/learning structure overall. </w:t>
            </w:r>
          </w:p>
          <w:p w14:paraId="5165F380" w14:textId="77777777" w:rsidR="00B37784" w:rsidRPr="00FC7802" w:rsidRDefault="00B37784" w:rsidP="001A1477">
            <w:pPr>
              <w:pStyle w:val="NormalWeb"/>
              <w:spacing w:line="276" w:lineRule="auto"/>
              <w:jc w:val="both"/>
              <w:rPr>
                <w:rFonts w:ascii="Poppins" w:hAnsi="Poppins" w:cs="Poppins"/>
                <w:b/>
                <w:bCs/>
                <w:color w:val="000000"/>
                <w:sz w:val="22"/>
                <w:szCs w:val="22"/>
              </w:rPr>
            </w:pPr>
            <w:r w:rsidRPr="00FC7802">
              <w:rPr>
                <w:rFonts w:ascii="Poppins" w:hAnsi="Poppins" w:cs="Poppins"/>
                <w:b/>
                <w:bCs/>
                <w:color w:val="000000"/>
                <w:sz w:val="22"/>
                <w:szCs w:val="22"/>
              </w:rPr>
              <w:t xml:space="preserve">Weaknesses: </w:t>
            </w:r>
          </w:p>
          <w:p w14:paraId="31D2891B" w14:textId="77777777" w:rsidR="00B37784" w:rsidRDefault="00B37784" w:rsidP="001A1477">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 While there is evidence of improvement in some of the written work (given the new academic writing micro-credentials), the structural development and presentation of written work remain weak. </w:t>
            </w:r>
          </w:p>
          <w:p w14:paraId="3798201F" w14:textId="4F3B5256" w:rsidR="008F1E23" w:rsidRDefault="00B37784" w:rsidP="001A1477">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 Accurate </w:t>
            </w:r>
            <w:proofErr w:type="gramStart"/>
            <w:r w:rsidRPr="00B37784">
              <w:rPr>
                <w:rFonts w:ascii="Poppins" w:hAnsi="Poppins" w:cs="Poppins"/>
                <w:color w:val="000000"/>
                <w:sz w:val="22"/>
                <w:szCs w:val="22"/>
              </w:rPr>
              <w:t>referencing</w:t>
            </w:r>
            <w:proofErr w:type="gramEnd"/>
            <w:r w:rsidRPr="00B37784">
              <w:rPr>
                <w:rFonts w:ascii="Poppins" w:hAnsi="Poppins" w:cs="Poppins"/>
                <w:color w:val="000000"/>
                <w:sz w:val="22"/>
                <w:szCs w:val="22"/>
              </w:rPr>
              <w:t xml:space="preserve"> and use of justified resources in some of the written work has improved; nonetheless, their use in building a critical perspective, supporting the </w:t>
            </w:r>
            <w:proofErr w:type="spellStart"/>
            <w:r w:rsidRPr="00B37784">
              <w:rPr>
                <w:rFonts w:ascii="Poppins" w:hAnsi="Poppins" w:cs="Poppins"/>
                <w:color w:val="000000"/>
                <w:sz w:val="22"/>
                <w:szCs w:val="22"/>
              </w:rPr>
              <w:t>rigour</w:t>
            </w:r>
            <w:proofErr w:type="spellEnd"/>
            <w:r w:rsidRPr="00B37784">
              <w:rPr>
                <w:rFonts w:ascii="Poppins" w:hAnsi="Poppins" w:cs="Poppins"/>
                <w:color w:val="000000"/>
                <w:sz w:val="22"/>
                <w:szCs w:val="22"/>
              </w:rPr>
              <w:t xml:space="preserve"> of argument and substantiating assertions could do with more attention.</w:t>
            </w:r>
          </w:p>
        </w:tc>
      </w:tr>
    </w:tbl>
    <w:p w14:paraId="5DE9EA8A" w14:textId="77777777" w:rsidR="008F1E23" w:rsidRDefault="008F1E23" w:rsidP="003E0C28">
      <w:pPr>
        <w:pStyle w:val="NormalWeb"/>
        <w:spacing w:line="276" w:lineRule="auto"/>
        <w:rPr>
          <w:rFonts w:ascii="Poppins" w:hAnsi="Poppins" w:cs="Poppins"/>
          <w:color w:val="000000"/>
          <w:sz w:val="22"/>
          <w:szCs w:val="22"/>
        </w:rPr>
      </w:pPr>
    </w:p>
    <w:p w14:paraId="71D7A22C" w14:textId="77777777" w:rsidR="007959E0" w:rsidRDefault="007959E0"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498B5123" w14:textId="77777777" w:rsidTr="00FC7802">
        <w:trPr>
          <w:trHeight w:val="548"/>
        </w:trPr>
        <w:tc>
          <w:tcPr>
            <w:tcW w:w="9350" w:type="dxa"/>
            <w:shd w:val="clear" w:color="auto" w:fill="DEEAF6" w:themeFill="accent1" w:themeFillTint="33"/>
          </w:tcPr>
          <w:p w14:paraId="78755D5A"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8F1E23" w14:paraId="28A827EF" w14:textId="77777777" w:rsidTr="001627F0">
        <w:trPr>
          <w:trHeight w:val="773"/>
        </w:trPr>
        <w:tc>
          <w:tcPr>
            <w:tcW w:w="9350" w:type="dxa"/>
          </w:tcPr>
          <w:p w14:paraId="00B486E8" w14:textId="3844EBFE" w:rsidR="008F1E23" w:rsidRDefault="00B37784" w:rsidP="00FC7802">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The overall strong performance suggests that the curriculum, teaching, and resources are effective. Based on the reviewed samples and results, all candidates </w:t>
            </w:r>
            <w:proofErr w:type="gramStart"/>
            <w:r w:rsidRPr="00B37784">
              <w:rPr>
                <w:rFonts w:ascii="Poppins" w:hAnsi="Poppins" w:cs="Poppins"/>
                <w:color w:val="000000"/>
                <w:sz w:val="22"/>
                <w:szCs w:val="22"/>
              </w:rPr>
              <w:lastRenderedPageBreak/>
              <w:t>are able to</w:t>
            </w:r>
            <w:proofErr w:type="gramEnd"/>
            <w:r w:rsidRPr="00B37784">
              <w:rPr>
                <w:rFonts w:ascii="Poppins" w:hAnsi="Poppins" w:cs="Poppins"/>
                <w:color w:val="000000"/>
                <w:sz w:val="22"/>
                <w:szCs w:val="22"/>
              </w:rPr>
              <w:t xml:space="preserve"> demonstrate an understanding of the core module content and learning outcomes, regardless of the grades achieved. Even those who achieved lower marks showed clear evidence of learning, despite having struggled to consolidate their knowledge or extend it through independent study to reach higher levels of achievement. The micro-credential course and additional practice/support in research and critical/ academic writing agreed </w:t>
            </w:r>
            <w:proofErr w:type="gramStart"/>
            <w:r w:rsidRPr="00B37784">
              <w:rPr>
                <w:rFonts w:ascii="Poppins" w:hAnsi="Poppins" w:cs="Poppins"/>
                <w:color w:val="000000"/>
                <w:sz w:val="22"/>
                <w:szCs w:val="22"/>
              </w:rPr>
              <w:t>at</w:t>
            </w:r>
            <w:proofErr w:type="gramEnd"/>
            <w:r w:rsidRPr="00B37784">
              <w:rPr>
                <w:rFonts w:ascii="Poppins" w:hAnsi="Poppins" w:cs="Poppins"/>
                <w:color w:val="000000"/>
                <w:sz w:val="22"/>
                <w:szCs w:val="22"/>
              </w:rPr>
              <w:t xml:space="preserve"> the last visit were implemented. The samples reviewed show some improvement in written work, which is encouraging. Nonetheless, it may also </w:t>
            </w:r>
            <w:proofErr w:type="gramStart"/>
            <w:r w:rsidRPr="00B37784">
              <w:rPr>
                <w:rFonts w:ascii="Poppins" w:hAnsi="Poppins" w:cs="Poppins"/>
                <w:color w:val="000000"/>
                <w:sz w:val="22"/>
                <w:szCs w:val="22"/>
              </w:rPr>
              <w:t>be a reflection of</w:t>
            </w:r>
            <w:proofErr w:type="gramEnd"/>
            <w:r w:rsidRPr="00B37784">
              <w:rPr>
                <w:rFonts w:ascii="Poppins" w:hAnsi="Poppins" w:cs="Poppins"/>
                <w:color w:val="000000"/>
                <w:sz w:val="22"/>
                <w:szCs w:val="22"/>
              </w:rPr>
              <w:t xml:space="preserve"> the strengths of the current cohort. The long-term impact of the initiative will need to be evaluated through future performance data. There is continued evidence, both in documentation and discussions with staff, of research-informed teaching and strong engagement with emerging technologies. Revised June </w:t>
            </w:r>
            <w:proofErr w:type="gramStart"/>
            <w:r w:rsidRPr="00B37784">
              <w:rPr>
                <w:rFonts w:ascii="Poppins" w:hAnsi="Poppins" w:cs="Poppins"/>
                <w:color w:val="000000"/>
                <w:sz w:val="22"/>
                <w:szCs w:val="22"/>
              </w:rPr>
              <w:t>2023</w:t>
            </w:r>
            <w:proofErr w:type="gramEnd"/>
            <w:r w:rsidRPr="00B37784">
              <w:rPr>
                <w:rFonts w:ascii="Poppins" w:hAnsi="Poppins" w:cs="Poppins"/>
                <w:color w:val="000000"/>
                <w:sz w:val="22"/>
                <w:szCs w:val="22"/>
              </w:rPr>
              <w:t xml:space="preserve"> </w:t>
            </w:r>
            <w:r w:rsidR="00FC7802" w:rsidRPr="00B37784">
              <w:rPr>
                <w:rFonts w:ascii="Poppins" w:hAnsi="Poppins" w:cs="Poppins"/>
                <w:color w:val="000000"/>
                <w:sz w:val="22"/>
                <w:szCs w:val="22"/>
              </w:rPr>
              <w:t>the</w:t>
            </w:r>
            <w:r w:rsidRPr="00B37784">
              <w:rPr>
                <w:rFonts w:ascii="Poppins" w:hAnsi="Poppins" w:cs="Poppins"/>
                <w:color w:val="000000"/>
                <w:sz w:val="22"/>
                <w:szCs w:val="22"/>
              </w:rPr>
              <w:t xml:space="preserve"> support, feedback, and supplementary materials provided by the teaching team remain effective in helping students meet learning outcomes while also offering valuable scaffolding for those who need additional assistance.</w:t>
            </w:r>
          </w:p>
        </w:tc>
      </w:tr>
    </w:tbl>
    <w:p w14:paraId="5610B166"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1739DA62" w14:textId="77777777" w:rsidTr="00FC7802">
        <w:trPr>
          <w:trHeight w:val="548"/>
        </w:trPr>
        <w:tc>
          <w:tcPr>
            <w:tcW w:w="9350" w:type="dxa"/>
            <w:shd w:val="clear" w:color="auto" w:fill="DEEAF6" w:themeFill="accent1" w:themeFillTint="33"/>
          </w:tcPr>
          <w:p w14:paraId="59727686" w14:textId="77777777" w:rsidR="008F1E23" w:rsidRDefault="008F1E23" w:rsidP="001627F0">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8F1E23" w14:paraId="1F51D813" w14:textId="77777777" w:rsidTr="001627F0">
        <w:trPr>
          <w:trHeight w:val="773"/>
        </w:trPr>
        <w:tc>
          <w:tcPr>
            <w:tcW w:w="9350" w:type="dxa"/>
          </w:tcPr>
          <w:p w14:paraId="217BA411" w14:textId="54B78E68" w:rsidR="008F1E23" w:rsidRDefault="00B37784" w:rsidP="00FC7802">
            <w:pPr>
              <w:pStyle w:val="NormalWeb"/>
              <w:spacing w:line="276" w:lineRule="auto"/>
              <w:jc w:val="both"/>
              <w:rPr>
                <w:rFonts w:ascii="Poppins" w:hAnsi="Poppins" w:cs="Poppins"/>
                <w:color w:val="000000"/>
                <w:sz w:val="22"/>
                <w:szCs w:val="22"/>
              </w:rPr>
            </w:pPr>
            <w:r w:rsidRPr="00B37784">
              <w:rPr>
                <w:rFonts w:ascii="Poppins" w:hAnsi="Poppins" w:cs="Poppins"/>
                <w:color w:val="000000"/>
                <w:sz w:val="22"/>
                <w:szCs w:val="22"/>
              </w:rPr>
              <w:t xml:space="preserve">The marking process is appropriate and appears fair and equitable across branches. Marking standards are rigorous and demonstrably aligned with the </w:t>
            </w:r>
            <w:proofErr w:type="spellStart"/>
            <w:r w:rsidRPr="00B37784">
              <w:rPr>
                <w:rFonts w:ascii="Poppins" w:hAnsi="Poppins" w:cs="Poppins"/>
                <w:color w:val="000000"/>
                <w:sz w:val="22"/>
                <w:szCs w:val="22"/>
              </w:rPr>
              <w:t>programme's</w:t>
            </w:r>
            <w:proofErr w:type="spellEnd"/>
            <w:r w:rsidRPr="00B37784">
              <w:rPr>
                <w:rFonts w:ascii="Poppins" w:hAnsi="Poppins" w:cs="Poppins"/>
                <w:color w:val="000000"/>
                <w:sz w:val="22"/>
                <w:szCs w:val="22"/>
              </w:rPr>
              <w:t xml:space="preserve"> assessment criteria. The quality of work within the grade boundaries aligns with the expectations at master's level. While some of the grades appear to be on the generous side, I am satisfied that they are reasonable reflections of academic merit and are supported by moderation. The </w:t>
            </w:r>
            <w:proofErr w:type="spellStart"/>
            <w:r w:rsidRPr="00B37784">
              <w:rPr>
                <w:rFonts w:ascii="Poppins" w:hAnsi="Poppins" w:cs="Poppins"/>
                <w:color w:val="000000"/>
                <w:sz w:val="22"/>
                <w:szCs w:val="22"/>
              </w:rPr>
              <w:t>programme</w:t>
            </w:r>
            <w:proofErr w:type="spellEnd"/>
            <w:r w:rsidRPr="00B37784">
              <w:rPr>
                <w:rFonts w:ascii="Poppins" w:hAnsi="Poppins" w:cs="Poppins"/>
                <w:color w:val="000000"/>
                <w:sz w:val="22"/>
                <w:szCs w:val="22"/>
              </w:rPr>
              <w:t xml:space="preserve"> maintains relevant sector standards, with typical strengths and weaknesses observed. The inconsistencies in the </w:t>
            </w:r>
            <w:proofErr w:type="gramStart"/>
            <w:r w:rsidRPr="00B37784">
              <w:rPr>
                <w:rFonts w:ascii="Poppins" w:hAnsi="Poppins" w:cs="Poppins"/>
                <w:color w:val="000000"/>
                <w:sz w:val="22"/>
                <w:szCs w:val="22"/>
              </w:rPr>
              <w:t>rubrics</w:t>
            </w:r>
            <w:proofErr w:type="gramEnd"/>
            <w:r w:rsidRPr="00B37784">
              <w:rPr>
                <w:rFonts w:ascii="Poppins" w:hAnsi="Poppins" w:cs="Poppins"/>
                <w:color w:val="000000"/>
                <w:sz w:val="22"/>
                <w:szCs w:val="22"/>
              </w:rPr>
              <w:t xml:space="preserve"> noted in previous reports are now completely rectified. Cross-branch moderation confirms that rubrics are applied with both </w:t>
            </w:r>
            <w:proofErr w:type="spellStart"/>
            <w:r w:rsidRPr="00B37784">
              <w:rPr>
                <w:rFonts w:ascii="Poppins" w:hAnsi="Poppins" w:cs="Poppins"/>
                <w:color w:val="000000"/>
                <w:sz w:val="22"/>
                <w:szCs w:val="22"/>
              </w:rPr>
              <w:t>rigour</w:t>
            </w:r>
            <w:proofErr w:type="spellEnd"/>
            <w:r w:rsidRPr="00B37784">
              <w:rPr>
                <w:rFonts w:ascii="Poppins" w:hAnsi="Poppins" w:cs="Poppins"/>
                <w:color w:val="000000"/>
                <w:sz w:val="22"/>
                <w:szCs w:val="22"/>
              </w:rPr>
              <w:t xml:space="preserve"> and consistency across branches. The quality of feedback provided is commendable. The comments and recommendations notably offer supportive and </w:t>
            </w:r>
            <w:proofErr w:type="gramStart"/>
            <w:r w:rsidRPr="00B37784">
              <w:rPr>
                <w:rFonts w:ascii="Poppins" w:hAnsi="Poppins" w:cs="Poppins"/>
                <w:color w:val="000000"/>
                <w:sz w:val="22"/>
                <w:szCs w:val="22"/>
              </w:rPr>
              <w:t>feedforward guidance</w:t>
            </w:r>
            <w:proofErr w:type="gramEnd"/>
            <w:r w:rsidRPr="00B37784">
              <w:rPr>
                <w:rFonts w:ascii="Poppins" w:hAnsi="Poppins" w:cs="Poppins"/>
                <w:color w:val="000000"/>
                <w:sz w:val="22"/>
                <w:szCs w:val="22"/>
              </w:rPr>
              <w:t>. Candidates’ testimonials consistently noted that the extensive formative feedback provided helped prepare them for the summative work.</w:t>
            </w:r>
          </w:p>
        </w:tc>
      </w:tr>
    </w:tbl>
    <w:p w14:paraId="21DB17B6" w14:textId="77777777" w:rsidR="00D51FCD" w:rsidRDefault="00D51FCD" w:rsidP="00034B7A">
      <w:pPr>
        <w:rPr>
          <w:rFonts w:ascii="Poppins" w:eastAsia="Times New Roman" w:hAnsi="Poppins" w:cs="Poppins"/>
          <w:color w:val="000000"/>
        </w:rPr>
      </w:pPr>
    </w:p>
    <w:sectPr w:rsidR="00D51F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7957" w14:textId="77777777" w:rsidR="006F4179" w:rsidRDefault="006F4179" w:rsidP="00EB43DC">
      <w:pPr>
        <w:spacing w:after="0" w:line="240" w:lineRule="auto"/>
      </w:pPr>
      <w:r>
        <w:separator/>
      </w:r>
    </w:p>
  </w:endnote>
  <w:endnote w:type="continuationSeparator" w:id="0">
    <w:p w14:paraId="4D3A9A3A" w14:textId="77777777" w:rsidR="006F4179" w:rsidRDefault="006F4179"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567AFF5D"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47A38739"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18ED" w14:textId="77777777" w:rsidR="006F4179" w:rsidRDefault="006F4179" w:rsidP="00EB43DC">
      <w:pPr>
        <w:spacing w:after="0" w:line="240" w:lineRule="auto"/>
      </w:pPr>
      <w:r>
        <w:separator/>
      </w:r>
    </w:p>
  </w:footnote>
  <w:footnote w:type="continuationSeparator" w:id="0">
    <w:p w14:paraId="3C4D9B77" w14:textId="77777777" w:rsidR="006F4179" w:rsidRDefault="006F4179"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E21B2"/>
    <w:multiLevelType w:val="hybridMultilevel"/>
    <w:tmpl w:val="AE9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A5E6A"/>
    <w:multiLevelType w:val="hybridMultilevel"/>
    <w:tmpl w:val="11F2BDD6"/>
    <w:lvl w:ilvl="0" w:tplc="D8F2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0377556">
    <w:abstractNumId w:val="2"/>
  </w:num>
  <w:num w:numId="2" w16cid:durableId="272715032">
    <w:abstractNumId w:val="7"/>
  </w:num>
  <w:num w:numId="3" w16cid:durableId="1112212660">
    <w:abstractNumId w:val="12"/>
  </w:num>
  <w:num w:numId="4" w16cid:durableId="2001690718">
    <w:abstractNumId w:val="9"/>
  </w:num>
  <w:num w:numId="5" w16cid:durableId="1819303641">
    <w:abstractNumId w:val="4"/>
  </w:num>
  <w:num w:numId="6" w16cid:durableId="1174537710">
    <w:abstractNumId w:val="3"/>
  </w:num>
  <w:num w:numId="7" w16cid:durableId="1279483674">
    <w:abstractNumId w:val="8"/>
  </w:num>
  <w:num w:numId="8" w16cid:durableId="1024209229">
    <w:abstractNumId w:val="11"/>
  </w:num>
  <w:num w:numId="9" w16cid:durableId="1169253615">
    <w:abstractNumId w:val="0"/>
  </w:num>
  <w:num w:numId="10" w16cid:durableId="1892573308">
    <w:abstractNumId w:val="14"/>
  </w:num>
  <w:num w:numId="11" w16cid:durableId="225727791">
    <w:abstractNumId w:val="13"/>
  </w:num>
  <w:num w:numId="12" w16cid:durableId="1133401924">
    <w:abstractNumId w:val="5"/>
  </w:num>
  <w:num w:numId="13" w16cid:durableId="914167980">
    <w:abstractNumId w:val="10"/>
  </w:num>
  <w:num w:numId="14" w16cid:durableId="1931308372">
    <w:abstractNumId w:val="6"/>
  </w:num>
  <w:num w:numId="15" w16cid:durableId="25613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20416"/>
    <w:rsid w:val="00034B7A"/>
    <w:rsid w:val="000C1607"/>
    <w:rsid w:val="000D246F"/>
    <w:rsid w:val="000D315E"/>
    <w:rsid w:val="00144177"/>
    <w:rsid w:val="0015433C"/>
    <w:rsid w:val="001822DB"/>
    <w:rsid w:val="001A1477"/>
    <w:rsid w:val="00217A5F"/>
    <w:rsid w:val="0034674F"/>
    <w:rsid w:val="003E0C28"/>
    <w:rsid w:val="004276DF"/>
    <w:rsid w:val="004C63F8"/>
    <w:rsid w:val="00572138"/>
    <w:rsid w:val="005D0CC9"/>
    <w:rsid w:val="00626100"/>
    <w:rsid w:val="006B6435"/>
    <w:rsid w:val="006F4179"/>
    <w:rsid w:val="007367E4"/>
    <w:rsid w:val="007959E0"/>
    <w:rsid w:val="008E50B5"/>
    <w:rsid w:val="008F1E23"/>
    <w:rsid w:val="00935273"/>
    <w:rsid w:val="00A83342"/>
    <w:rsid w:val="00B06EEB"/>
    <w:rsid w:val="00B20844"/>
    <w:rsid w:val="00B37784"/>
    <w:rsid w:val="00B504D3"/>
    <w:rsid w:val="00C82568"/>
    <w:rsid w:val="00CD3F0C"/>
    <w:rsid w:val="00D26748"/>
    <w:rsid w:val="00D41156"/>
    <w:rsid w:val="00D51FCD"/>
    <w:rsid w:val="00D6556D"/>
    <w:rsid w:val="00D87D4E"/>
    <w:rsid w:val="00E003D8"/>
    <w:rsid w:val="00E029BC"/>
    <w:rsid w:val="00E5298F"/>
    <w:rsid w:val="00EB43DC"/>
    <w:rsid w:val="00F20D0B"/>
    <w:rsid w:val="00F61288"/>
    <w:rsid w:val="00F94A02"/>
    <w:rsid w:val="00FC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0550"/>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Dr.Walid Aboraya</cp:lastModifiedBy>
  <cp:revision>3</cp:revision>
  <cp:lastPrinted>2023-10-03T08:08:00Z</cp:lastPrinted>
  <dcterms:created xsi:type="dcterms:W3CDTF">2025-05-12T22:58:00Z</dcterms:created>
  <dcterms:modified xsi:type="dcterms:W3CDTF">2025-05-12T23:07:00Z</dcterms:modified>
</cp:coreProperties>
</file>